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F6CD1" w14:textId="7513B946" w:rsidR="00464E8D" w:rsidRPr="008B27AE" w:rsidRDefault="00E43FC5">
      <w:pPr>
        <w:snapToGrid w:val="0"/>
        <w:spacing w:line="360" w:lineRule="auto"/>
        <w:jc w:val="center"/>
        <w:rPr>
          <w:rFonts w:ascii="方正小标宋简体" w:eastAsia="方正小标宋简体" w:hAnsi="仿宋" w:cs="Times New Roman" w:hint="eastAsia"/>
          <w:bCs/>
          <w:color w:val="000000" w:themeColor="text1"/>
          <w:sz w:val="36"/>
          <w:szCs w:val="36"/>
        </w:rPr>
      </w:pPr>
      <w:r w:rsidRPr="008B27AE">
        <w:rPr>
          <w:rFonts w:ascii="方正小标宋简体" w:eastAsia="方正小标宋简体" w:hAnsi="仿宋" w:cs="Times New Roman" w:hint="eastAsia"/>
          <w:bCs/>
          <w:color w:val="000000" w:themeColor="text1"/>
          <w:sz w:val="36"/>
          <w:szCs w:val="36"/>
        </w:rPr>
        <w:t>《国际商务专业基础》考试大纲</w:t>
      </w:r>
    </w:p>
    <w:p w14:paraId="788E8AFA" w14:textId="77777777" w:rsidR="00464E8D" w:rsidRDefault="00E43FC5">
      <w:pPr>
        <w:snapToGrid w:val="0"/>
        <w:spacing w:beforeLines="50" w:before="156" w:afterLines="50" w:after="156" w:line="360" w:lineRule="auto"/>
        <w:rPr>
          <w:rFonts w:ascii="仿宋" w:eastAsia="仿宋" w:hAnsi="仿宋"/>
          <w:b/>
          <w:color w:val="000000" w:themeColor="text1"/>
          <w:sz w:val="28"/>
          <w:szCs w:val="28"/>
        </w:rPr>
      </w:pPr>
      <w:r>
        <w:rPr>
          <w:rFonts w:ascii="仿宋" w:eastAsia="仿宋" w:hAnsi="仿宋"/>
          <w:b/>
          <w:color w:val="000000" w:themeColor="text1"/>
          <w:sz w:val="28"/>
          <w:szCs w:val="28"/>
        </w:rPr>
        <w:t>一、考试性质</w:t>
      </w:r>
    </w:p>
    <w:p w14:paraId="0F769F18" w14:textId="77777777" w:rsidR="00464E8D" w:rsidRDefault="00E43FC5">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国际商务专业基础》是国际商务硕士专业学位研究生入学统一考试的科目之一。《国际商务专业基础》考试要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14:paraId="54C22260" w14:textId="77777777" w:rsidR="00464E8D" w:rsidRDefault="00E43FC5">
      <w:pPr>
        <w:rPr>
          <w:rFonts w:ascii="仿宋" w:eastAsia="仿宋" w:hAnsi="仿宋"/>
          <w:b/>
          <w:color w:val="000000" w:themeColor="text1"/>
          <w:sz w:val="28"/>
          <w:szCs w:val="28"/>
        </w:rPr>
      </w:pPr>
      <w:r>
        <w:rPr>
          <w:rFonts w:ascii="仿宋" w:eastAsia="仿宋" w:hAnsi="仿宋" w:hint="eastAsia"/>
          <w:b/>
          <w:color w:val="000000" w:themeColor="text1"/>
          <w:sz w:val="28"/>
          <w:szCs w:val="28"/>
        </w:rPr>
        <w:t>二、考试要求</w:t>
      </w:r>
    </w:p>
    <w:p w14:paraId="36ADA1BB" w14:textId="77777777" w:rsidR="00464E8D" w:rsidRDefault="00E43FC5">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测试考生对于国际商务相关的基本概念、基本理论、基础知识的掌握情况以及综合运用分析和解决国际商务现实问题的能力。</w:t>
      </w:r>
    </w:p>
    <w:p w14:paraId="3E224924" w14:textId="77777777" w:rsidR="00464E8D" w:rsidRDefault="00E43FC5">
      <w:pPr>
        <w:rPr>
          <w:rFonts w:ascii="仿宋" w:eastAsia="仿宋" w:hAnsi="仿宋"/>
          <w:b/>
          <w:color w:val="000000" w:themeColor="text1"/>
          <w:sz w:val="28"/>
          <w:szCs w:val="28"/>
        </w:rPr>
      </w:pPr>
      <w:r>
        <w:rPr>
          <w:rFonts w:ascii="仿宋" w:eastAsia="仿宋" w:hAnsi="仿宋" w:hint="eastAsia"/>
          <w:b/>
          <w:color w:val="000000" w:themeColor="text1"/>
          <w:sz w:val="28"/>
          <w:szCs w:val="28"/>
        </w:rPr>
        <w:t>三、考试方式与分值</w:t>
      </w:r>
    </w:p>
    <w:p w14:paraId="445CCB7C" w14:textId="77777777" w:rsidR="00464E8D" w:rsidRDefault="00E43FC5">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考试方式为闭卷、笔试。</w:t>
      </w:r>
    </w:p>
    <w:p w14:paraId="36F732FB" w14:textId="77777777" w:rsidR="00464E8D" w:rsidRDefault="00E43FC5">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本科目满分150分，考试时间180分钟。</w:t>
      </w:r>
    </w:p>
    <w:p w14:paraId="446BA658" w14:textId="77777777" w:rsidR="00464E8D" w:rsidRDefault="00E43FC5">
      <w:pPr>
        <w:rPr>
          <w:rFonts w:ascii="仿宋" w:eastAsia="仿宋" w:hAnsi="仿宋"/>
          <w:b/>
          <w:color w:val="000000" w:themeColor="text1"/>
          <w:sz w:val="28"/>
          <w:szCs w:val="28"/>
        </w:rPr>
      </w:pPr>
      <w:r>
        <w:rPr>
          <w:rFonts w:ascii="仿宋" w:eastAsia="仿宋" w:hAnsi="仿宋" w:hint="eastAsia"/>
          <w:b/>
          <w:color w:val="000000" w:themeColor="text1"/>
          <w:sz w:val="28"/>
          <w:szCs w:val="28"/>
        </w:rPr>
        <w:t>四、考试主要内容</w:t>
      </w:r>
    </w:p>
    <w:p w14:paraId="70D94BAB" w14:textId="77777777" w:rsidR="00464E8D" w:rsidRDefault="00E43FC5">
      <w:pPr>
        <w:rPr>
          <w:rFonts w:ascii="仿宋" w:eastAsia="仿宋" w:hAnsi="仿宋"/>
          <w:b/>
          <w:color w:val="000000" w:themeColor="text1"/>
          <w:sz w:val="28"/>
          <w:szCs w:val="28"/>
        </w:rPr>
      </w:pPr>
      <w:r>
        <w:rPr>
          <w:rFonts w:ascii="仿宋" w:eastAsia="仿宋" w:hAnsi="仿宋" w:hint="eastAsia"/>
          <w:b/>
          <w:color w:val="000000" w:themeColor="text1"/>
          <w:sz w:val="28"/>
          <w:szCs w:val="28"/>
        </w:rPr>
        <w:t>（一）经济学基础（3</w:t>
      </w:r>
      <w:r>
        <w:rPr>
          <w:rFonts w:ascii="仿宋" w:eastAsia="仿宋" w:hAnsi="仿宋"/>
          <w:b/>
          <w:color w:val="000000" w:themeColor="text1"/>
          <w:sz w:val="28"/>
          <w:szCs w:val="28"/>
        </w:rPr>
        <w:t>0</w:t>
      </w:r>
      <w:r w:rsidR="000B129D">
        <w:rPr>
          <w:rFonts w:ascii="仿宋" w:eastAsia="仿宋" w:hAnsi="仿宋" w:hint="eastAsia"/>
          <w:b/>
          <w:color w:val="000000" w:themeColor="text1"/>
          <w:sz w:val="28"/>
          <w:szCs w:val="28"/>
        </w:rPr>
        <w:t>分</w:t>
      </w:r>
      <w:r>
        <w:rPr>
          <w:rFonts w:ascii="仿宋" w:eastAsia="仿宋" w:hAnsi="仿宋" w:hint="eastAsia"/>
          <w:b/>
          <w:color w:val="000000" w:themeColor="text1"/>
          <w:sz w:val="28"/>
          <w:szCs w:val="28"/>
        </w:rPr>
        <w:t>）</w:t>
      </w:r>
    </w:p>
    <w:p w14:paraId="5B38C6D2" w14:textId="77777777" w:rsidR="00464E8D" w:rsidRDefault="00E43FC5">
      <w:pPr>
        <w:ind w:firstLineChars="100" w:firstLine="280"/>
        <w:rPr>
          <w:rFonts w:ascii="仿宋" w:eastAsia="仿宋" w:hAnsi="仿宋"/>
          <w:color w:val="000000" w:themeColor="text1"/>
          <w:sz w:val="28"/>
          <w:szCs w:val="28"/>
        </w:rPr>
      </w:pPr>
      <w:r>
        <w:rPr>
          <w:rFonts w:ascii="仿宋" w:eastAsia="仿宋" w:hAnsi="仿宋" w:hint="eastAsia"/>
          <w:color w:val="000000" w:themeColor="text1"/>
          <w:sz w:val="28"/>
          <w:szCs w:val="28"/>
        </w:rPr>
        <w:t>1、消费者选择</w:t>
      </w:r>
    </w:p>
    <w:p w14:paraId="2C304F1E"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基数效用理论；序数效用理论；消费者均衡。</w:t>
      </w:r>
    </w:p>
    <w:p w14:paraId="5457E9CB"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2、生产与成本</w:t>
      </w:r>
    </w:p>
    <w:p w14:paraId="4BB0FDEB"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color w:val="000000" w:themeColor="text1"/>
          <w:sz w:val="28"/>
          <w:szCs w:val="28"/>
        </w:rPr>
        <w:t>短期生产函数与长期生产函数</w:t>
      </w:r>
      <w:r>
        <w:rPr>
          <w:rFonts w:ascii="仿宋" w:eastAsia="仿宋" w:hAnsi="仿宋" w:cs="Times New Roman" w:hint="eastAsia"/>
          <w:color w:val="000000" w:themeColor="text1"/>
          <w:sz w:val="28"/>
          <w:szCs w:val="28"/>
        </w:rPr>
        <w:t>；</w:t>
      </w:r>
      <w:r>
        <w:rPr>
          <w:rFonts w:ascii="仿宋" w:eastAsia="仿宋" w:hAnsi="仿宋" w:cs="Times New Roman"/>
          <w:color w:val="000000" w:themeColor="text1"/>
          <w:sz w:val="28"/>
          <w:szCs w:val="28"/>
        </w:rPr>
        <w:t>短期成本曲线与长期成本曲线</w:t>
      </w:r>
      <w:r>
        <w:rPr>
          <w:rFonts w:ascii="仿宋" w:eastAsia="仿宋" w:hAnsi="仿宋" w:cs="Times New Roman" w:hint="eastAsia"/>
          <w:color w:val="000000" w:themeColor="text1"/>
          <w:sz w:val="28"/>
          <w:szCs w:val="28"/>
        </w:rPr>
        <w:t>。</w:t>
      </w:r>
    </w:p>
    <w:p w14:paraId="6009ECCC"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lastRenderedPageBreak/>
        <w:t>3、完全竞争市场</w:t>
      </w:r>
    </w:p>
    <w:p w14:paraId="77CE326F"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完全</w:t>
      </w:r>
      <w:r>
        <w:rPr>
          <w:rFonts w:ascii="仿宋" w:eastAsia="仿宋" w:hAnsi="仿宋" w:cs="Times New Roman"/>
          <w:color w:val="000000" w:themeColor="text1"/>
          <w:sz w:val="28"/>
          <w:szCs w:val="28"/>
        </w:rPr>
        <w:t>竞争厂商的需求曲线与收益曲线</w:t>
      </w:r>
      <w:r>
        <w:rPr>
          <w:rFonts w:ascii="仿宋" w:eastAsia="仿宋" w:hAnsi="仿宋" w:cs="Times New Roman" w:hint="eastAsia"/>
          <w:color w:val="000000" w:themeColor="text1"/>
          <w:sz w:val="28"/>
          <w:szCs w:val="28"/>
        </w:rPr>
        <w:t>；利润最大化；</w:t>
      </w:r>
      <w:r>
        <w:rPr>
          <w:rFonts w:ascii="仿宋" w:eastAsia="仿宋" w:hAnsi="仿宋" w:cs="Times New Roman"/>
          <w:color w:val="000000" w:themeColor="text1"/>
          <w:sz w:val="28"/>
          <w:szCs w:val="28"/>
        </w:rPr>
        <w:t>完全竞争厂商的短期均衡与短期供给曲线</w:t>
      </w:r>
      <w:r>
        <w:rPr>
          <w:rFonts w:ascii="仿宋" w:eastAsia="仿宋" w:hAnsi="仿宋" w:cs="Times New Roman" w:hint="eastAsia"/>
          <w:color w:val="000000" w:themeColor="text1"/>
          <w:sz w:val="28"/>
          <w:szCs w:val="28"/>
        </w:rPr>
        <w:t>。</w:t>
      </w:r>
    </w:p>
    <w:p w14:paraId="3C71D4D8"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4、不完全竞争市场</w:t>
      </w:r>
    </w:p>
    <w:p w14:paraId="75FF3A82" w14:textId="77777777" w:rsidR="00464E8D" w:rsidRDefault="00E43FC5">
      <w:pPr>
        <w:ind w:firstLineChars="100" w:firstLine="280"/>
        <w:rPr>
          <w:rFonts w:ascii="仿宋" w:eastAsia="仿宋" w:hAnsi="仿宋" w:cs="Times New Roman"/>
          <w:color w:val="000000" w:themeColor="text1"/>
          <w:sz w:val="28"/>
          <w:szCs w:val="28"/>
        </w:rPr>
      </w:pPr>
      <w:r>
        <w:rPr>
          <w:rFonts w:ascii="仿宋" w:eastAsia="仿宋" w:hAnsi="仿宋" w:cs="Times New Roman"/>
          <w:color w:val="000000" w:themeColor="text1"/>
          <w:sz w:val="28"/>
          <w:szCs w:val="28"/>
        </w:rPr>
        <w:t>垄断厂商的需求曲线与收益曲线</w:t>
      </w:r>
      <w:r>
        <w:rPr>
          <w:rFonts w:ascii="仿宋" w:eastAsia="仿宋" w:hAnsi="仿宋" w:cs="Times New Roman" w:hint="eastAsia"/>
          <w:color w:val="000000" w:themeColor="text1"/>
          <w:sz w:val="28"/>
          <w:szCs w:val="28"/>
        </w:rPr>
        <w:t>；垄断厂商的短期均衡；价格歧视；古诺模型。</w:t>
      </w:r>
    </w:p>
    <w:p w14:paraId="5B747779" w14:textId="77777777" w:rsidR="00464E8D" w:rsidRDefault="00E43FC5">
      <w:pPr>
        <w:spacing w:line="360" w:lineRule="auto"/>
        <w:rPr>
          <w:rFonts w:ascii="仿宋" w:eastAsia="仿宋" w:hAnsi="仿宋" w:cs="Times New Roman"/>
          <w:b/>
          <w:color w:val="000000" w:themeColor="text1"/>
          <w:sz w:val="28"/>
          <w:szCs w:val="28"/>
        </w:rPr>
      </w:pPr>
      <w:r>
        <w:rPr>
          <w:rFonts w:ascii="仿宋" w:eastAsia="仿宋" w:hAnsi="仿宋" w:cs="Times New Roman"/>
          <w:b/>
          <w:color w:val="000000" w:themeColor="text1"/>
          <w:sz w:val="28"/>
          <w:szCs w:val="28"/>
        </w:rPr>
        <w:t>（</w:t>
      </w:r>
      <w:r>
        <w:rPr>
          <w:rFonts w:ascii="仿宋" w:eastAsia="仿宋" w:hAnsi="仿宋" w:cs="Times New Roman" w:hint="eastAsia"/>
          <w:b/>
          <w:color w:val="000000" w:themeColor="text1"/>
          <w:sz w:val="28"/>
          <w:szCs w:val="28"/>
        </w:rPr>
        <w:t>二</w:t>
      </w:r>
      <w:r>
        <w:rPr>
          <w:rFonts w:ascii="仿宋" w:eastAsia="仿宋" w:hAnsi="仿宋" w:cs="Times New Roman"/>
          <w:b/>
          <w:color w:val="000000" w:themeColor="text1"/>
          <w:sz w:val="28"/>
          <w:szCs w:val="28"/>
        </w:rPr>
        <w:t>）国际贸易理论与政策</w:t>
      </w:r>
      <w:r>
        <w:rPr>
          <w:rFonts w:ascii="仿宋" w:eastAsia="仿宋" w:hAnsi="仿宋" w:cs="Times New Roman" w:hint="eastAsia"/>
          <w:b/>
          <w:color w:val="000000" w:themeColor="text1"/>
          <w:sz w:val="28"/>
          <w:szCs w:val="28"/>
        </w:rPr>
        <w:t>（2</w:t>
      </w:r>
      <w:r>
        <w:rPr>
          <w:rFonts w:ascii="仿宋" w:eastAsia="仿宋" w:hAnsi="仿宋" w:cs="Times New Roman"/>
          <w:b/>
          <w:color w:val="000000" w:themeColor="text1"/>
          <w:sz w:val="28"/>
          <w:szCs w:val="28"/>
        </w:rPr>
        <w:t>0</w:t>
      </w:r>
      <w:r w:rsidR="000B129D">
        <w:rPr>
          <w:rFonts w:ascii="仿宋" w:eastAsia="仿宋" w:hAnsi="仿宋" w:cs="Times New Roman" w:hint="eastAsia"/>
          <w:b/>
          <w:color w:val="000000" w:themeColor="text1"/>
          <w:sz w:val="28"/>
          <w:szCs w:val="28"/>
        </w:rPr>
        <w:t>分</w:t>
      </w:r>
      <w:r>
        <w:rPr>
          <w:rFonts w:ascii="仿宋" w:eastAsia="仿宋" w:hAnsi="仿宋" w:cs="Times New Roman" w:hint="eastAsia"/>
          <w:b/>
          <w:color w:val="000000" w:themeColor="text1"/>
          <w:sz w:val="28"/>
          <w:szCs w:val="28"/>
        </w:rPr>
        <w:t>）</w:t>
      </w:r>
    </w:p>
    <w:p w14:paraId="1E184CAD"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color w:val="000000" w:themeColor="text1"/>
          <w:sz w:val="28"/>
          <w:szCs w:val="28"/>
        </w:rPr>
        <w:t>1、李嘉图模型</w:t>
      </w:r>
    </w:p>
    <w:p w14:paraId="25425C05"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李嘉图模型的基本思想；比较优势的基本原理。</w:t>
      </w:r>
      <w:r>
        <w:rPr>
          <w:rFonts w:ascii="仿宋" w:eastAsia="仿宋" w:hAnsi="仿宋" w:cs="Times New Roman"/>
          <w:color w:val="000000" w:themeColor="text1"/>
          <w:sz w:val="28"/>
          <w:szCs w:val="28"/>
        </w:rPr>
        <w:t xml:space="preserve"> </w:t>
      </w:r>
    </w:p>
    <w:p w14:paraId="7DD0F71E"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2、赫克歇尔—俄林模型</w:t>
      </w:r>
    </w:p>
    <w:p w14:paraId="54A528CB"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赫克歇尔—俄林模型的基本思想；在2×2的模型结构中贸易模式的决定。</w:t>
      </w:r>
    </w:p>
    <w:p w14:paraId="5F1AC6FD"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3、现代贸易理论</w:t>
      </w:r>
    </w:p>
    <w:p w14:paraId="2150D08C"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产业内贸易的理论解释；非完全竞争市场条件下的国际贸易。</w:t>
      </w:r>
    </w:p>
    <w:p w14:paraId="345D4F45" w14:textId="77777777" w:rsidR="00464E8D" w:rsidRDefault="00E43FC5">
      <w:pPr>
        <w:spacing w:line="360" w:lineRule="auto"/>
        <w:ind w:firstLineChars="200" w:firstLine="56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4、国际贸易政策</w:t>
      </w:r>
    </w:p>
    <w:p w14:paraId="7AB6DDAF" w14:textId="77777777" w:rsidR="00464E8D" w:rsidRDefault="00E43FC5">
      <w:pPr>
        <w:spacing w:line="360" w:lineRule="auto"/>
        <w:ind w:firstLineChars="100" w:firstLine="280"/>
        <w:rPr>
          <w:rFonts w:ascii="仿宋" w:eastAsia="仿宋" w:hAnsi="仿宋" w:cs="Times New Roman"/>
          <w:color w:val="000000" w:themeColor="text1"/>
          <w:sz w:val="28"/>
          <w:szCs w:val="28"/>
        </w:rPr>
      </w:pPr>
      <w:r>
        <w:rPr>
          <w:rFonts w:ascii="仿宋" w:eastAsia="仿宋" w:hAnsi="仿宋" w:cs="Times New Roman" w:hint="eastAsia"/>
          <w:color w:val="000000" w:themeColor="text1"/>
          <w:sz w:val="28"/>
          <w:szCs w:val="28"/>
        </w:rPr>
        <w:t xml:space="preserve"> </w:t>
      </w:r>
      <w:r>
        <w:rPr>
          <w:rFonts w:ascii="仿宋" w:eastAsia="仿宋" w:hAnsi="仿宋" w:cs="Times New Roman"/>
          <w:color w:val="000000" w:themeColor="text1"/>
          <w:sz w:val="28"/>
          <w:szCs w:val="28"/>
        </w:rPr>
        <w:t xml:space="preserve"> 进口关税政策的福利效应</w:t>
      </w:r>
      <w:r>
        <w:rPr>
          <w:rFonts w:ascii="仿宋" w:eastAsia="仿宋" w:hAnsi="仿宋" w:cs="Times New Roman" w:hint="eastAsia"/>
          <w:color w:val="000000" w:themeColor="text1"/>
          <w:sz w:val="28"/>
          <w:szCs w:val="28"/>
        </w:rPr>
        <w:t>；</w:t>
      </w:r>
      <w:r>
        <w:rPr>
          <w:rFonts w:ascii="仿宋" w:eastAsia="仿宋" w:hAnsi="仿宋" w:cs="Times New Roman"/>
          <w:color w:val="000000" w:themeColor="text1"/>
          <w:sz w:val="28"/>
          <w:szCs w:val="28"/>
        </w:rPr>
        <w:t>出口补贴政策的福利效应</w:t>
      </w:r>
      <w:r>
        <w:rPr>
          <w:rFonts w:ascii="仿宋" w:eastAsia="仿宋" w:hAnsi="仿宋" w:cs="Times New Roman" w:hint="eastAsia"/>
          <w:color w:val="000000" w:themeColor="text1"/>
          <w:sz w:val="28"/>
          <w:szCs w:val="28"/>
        </w:rPr>
        <w:t>。</w:t>
      </w:r>
    </w:p>
    <w:p w14:paraId="546377B0" w14:textId="77777777" w:rsidR="00464E8D" w:rsidRDefault="00E43FC5">
      <w:pPr>
        <w:spacing w:line="360" w:lineRule="auto"/>
        <w:rPr>
          <w:rFonts w:ascii="仿宋" w:eastAsia="仿宋" w:hAnsi="仿宋" w:cs="Times New Roman"/>
          <w:b/>
          <w:color w:val="000000" w:themeColor="text1"/>
          <w:sz w:val="28"/>
          <w:szCs w:val="28"/>
        </w:rPr>
      </w:pPr>
      <w:r>
        <w:rPr>
          <w:rFonts w:ascii="仿宋" w:eastAsia="仿宋" w:hAnsi="仿宋" w:cs="Times New Roman"/>
          <w:b/>
          <w:color w:val="000000" w:themeColor="text1"/>
          <w:sz w:val="28"/>
          <w:szCs w:val="28"/>
        </w:rPr>
        <w:t>（</w:t>
      </w:r>
      <w:r w:rsidR="001E5EE2">
        <w:rPr>
          <w:rFonts w:ascii="仿宋" w:eastAsia="仿宋" w:hAnsi="仿宋" w:cs="Times New Roman" w:hint="eastAsia"/>
          <w:b/>
          <w:color w:val="000000" w:themeColor="text1"/>
          <w:sz w:val="28"/>
          <w:szCs w:val="28"/>
        </w:rPr>
        <w:t>三</w:t>
      </w:r>
      <w:r>
        <w:rPr>
          <w:rFonts w:ascii="仿宋" w:eastAsia="仿宋" w:hAnsi="仿宋" w:cs="Times New Roman"/>
          <w:b/>
          <w:color w:val="000000" w:themeColor="text1"/>
          <w:sz w:val="28"/>
          <w:szCs w:val="28"/>
        </w:rPr>
        <w:t>）</w:t>
      </w:r>
      <w:r>
        <w:rPr>
          <w:rFonts w:ascii="仿宋" w:eastAsia="仿宋" w:hAnsi="仿宋" w:cs="Times New Roman" w:hint="eastAsia"/>
          <w:b/>
          <w:color w:val="000000" w:themeColor="text1"/>
          <w:sz w:val="28"/>
          <w:szCs w:val="28"/>
        </w:rPr>
        <w:t>国际贸易实务（40</w:t>
      </w:r>
      <w:r w:rsidR="000B129D">
        <w:rPr>
          <w:rFonts w:ascii="仿宋" w:eastAsia="仿宋" w:hAnsi="仿宋" w:cs="Times New Roman" w:hint="eastAsia"/>
          <w:b/>
          <w:color w:val="000000" w:themeColor="text1"/>
          <w:sz w:val="28"/>
          <w:szCs w:val="28"/>
        </w:rPr>
        <w:t>分</w:t>
      </w:r>
      <w:r>
        <w:rPr>
          <w:rFonts w:ascii="仿宋" w:eastAsia="仿宋" w:hAnsi="仿宋" w:cs="Times New Roman" w:hint="eastAsia"/>
          <w:b/>
          <w:color w:val="000000" w:themeColor="text1"/>
          <w:sz w:val="28"/>
          <w:szCs w:val="28"/>
        </w:rPr>
        <w:t>）</w:t>
      </w:r>
    </w:p>
    <w:p w14:paraId="06F3712F"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1</w:t>
      </w:r>
      <w:r>
        <w:rPr>
          <w:rFonts w:ascii="仿宋" w:eastAsia="仿宋" w:hAnsi="仿宋" w:cs="Times New Roman"/>
          <w:color w:val="000000" w:themeColor="text1"/>
          <w:kern w:val="2"/>
          <w:sz w:val="28"/>
          <w:szCs w:val="28"/>
        </w:rPr>
        <w:t>、</w:t>
      </w:r>
      <w:r>
        <w:rPr>
          <w:rFonts w:ascii="仿宋" w:eastAsia="仿宋" w:hAnsi="仿宋" w:cs="Times New Roman" w:hint="eastAsia"/>
          <w:color w:val="000000" w:themeColor="text1"/>
          <w:kern w:val="2"/>
          <w:sz w:val="28"/>
          <w:szCs w:val="28"/>
        </w:rPr>
        <w:t>国际贸易交易磋商与合同的订立</w:t>
      </w:r>
    </w:p>
    <w:p w14:paraId="4449CE2C"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国际贸易基本流程、国际贸易合同的商订、国际贸易合同的履行。</w:t>
      </w:r>
    </w:p>
    <w:p w14:paraId="5E774D5E"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2、</w:t>
      </w:r>
      <w:r>
        <w:rPr>
          <w:rFonts w:ascii="仿宋" w:eastAsia="仿宋" w:hAnsi="仿宋" w:cs="Times New Roman"/>
          <w:color w:val="000000" w:themeColor="text1"/>
          <w:kern w:val="2"/>
          <w:sz w:val="28"/>
          <w:szCs w:val="28"/>
        </w:rPr>
        <w:t>国际贸易术语与商品价格</w:t>
      </w:r>
    </w:p>
    <w:p w14:paraId="21DFF1C2" w14:textId="77777777" w:rsidR="00464E8D" w:rsidRDefault="00E43FC5">
      <w:pPr>
        <w:pStyle w:val="Default"/>
        <w:spacing w:line="360" w:lineRule="auto"/>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 xml:space="preserve">　 </w:t>
      </w:r>
      <w:r>
        <w:rPr>
          <w:rFonts w:ascii="仿宋" w:eastAsia="仿宋" w:hAnsi="仿宋" w:cs="Times New Roman"/>
          <w:color w:val="000000" w:themeColor="text1"/>
          <w:kern w:val="2"/>
          <w:sz w:val="28"/>
          <w:szCs w:val="28"/>
        </w:rPr>
        <w:t xml:space="preserve"> 国际贸易术语</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国际贸易商品价格</w:t>
      </w:r>
      <w:r>
        <w:rPr>
          <w:rFonts w:ascii="仿宋" w:eastAsia="仿宋" w:hAnsi="仿宋" w:cs="Times New Roman" w:hint="eastAsia"/>
          <w:color w:val="000000" w:themeColor="text1"/>
          <w:kern w:val="2"/>
          <w:sz w:val="28"/>
          <w:szCs w:val="28"/>
        </w:rPr>
        <w:t>核算。</w:t>
      </w:r>
    </w:p>
    <w:p w14:paraId="274A5474"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lastRenderedPageBreak/>
        <w:t>3、</w:t>
      </w:r>
      <w:r>
        <w:rPr>
          <w:rFonts w:ascii="仿宋" w:eastAsia="仿宋" w:hAnsi="仿宋" w:cs="Times New Roman"/>
          <w:color w:val="000000" w:themeColor="text1"/>
          <w:kern w:val="2"/>
          <w:sz w:val="28"/>
          <w:szCs w:val="28"/>
        </w:rPr>
        <w:t>国际货物的品质、数量和包装条款</w:t>
      </w:r>
    </w:p>
    <w:p w14:paraId="6996A9B9"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商品的品质</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商品的数量</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商品的包装。</w:t>
      </w:r>
    </w:p>
    <w:p w14:paraId="53FA1844"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4、国际货物运输</w:t>
      </w:r>
      <w:r>
        <w:rPr>
          <w:rFonts w:ascii="仿宋" w:eastAsia="仿宋" w:hAnsi="仿宋" w:cs="Times New Roman" w:hint="eastAsia"/>
          <w:color w:val="000000" w:themeColor="text1"/>
          <w:kern w:val="2"/>
          <w:sz w:val="28"/>
          <w:szCs w:val="28"/>
        </w:rPr>
        <w:t>与保险</w:t>
      </w:r>
    </w:p>
    <w:p w14:paraId="3C81BE6C" w14:textId="77777777" w:rsidR="00464E8D" w:rsidRDefault="00E43FC5">
      <w:pPr>
        <w:pStyle w:val="Default"/>
        <w:spacing w:line="360" w:lineRule="auto"/>
        <w:ind w:firstLine="564"/>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运输方式</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运输单据</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货物保险。</w:t>
      </w:r>
    </w:p>
    <w:p w14:paraId="58730748"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5</w:t>
      </w:r>
      <w:r>
        <w:rPr>
          <w:rFonts w:ascii="仿宋" w:eastAsia="仿宋" w:hAnsi="仿宋" w:cs="Times New Roman"/>
          <w:color w:val="000000" w:themeColor="text1"/>
          <w:kern w:val="2"/>
          <w:sz w:val="28"/>
          <w:szCs w:val="28"/>
        </w:rPr>
        <w:t>、国际货款的支付</w:t>
      </w:r>
    </w:p>
    <w:p w14:paraId="4FEB2B06"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支付工具</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支付方式</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支付方式的选择。</w:t>
      </w:r>
    </w:p>
    <w:p w14:paraId="0BDE652B" w14:textId="77777777" w:rsidR="00464E8D" w:rsidRDefault="00E43FC5">
      <w:pPr>
        <w:pStyle w:val="Default"/>
        <w:spacing w:line="360" w:lineRule="auto"/>
        <w:ind w:left="560"/>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6、</w:t>
      </w:r>
      <w:r>
        <w:rPr>
          <w:rFonts w:ascii="仿宋" w:eastAsia="仿宋" w:hAnsi="仿宋" w:cs="Times New Roman"/>
          <w:color w:val="000000" w:themeColor="text1"/>
          <w:kern w:val="2"/>
          <w:sz w:val="28"/>
          <w:szCs w:val="28"/>
        </w:rPr>
        <w:t>商品检验、索赔、不可抗力和仲裁</w:t>
      </w:r>
    </w:p>
    <w:p w14:paraId="6DDBC9E2" w14:textId="77777777" w:rsidR="00464E8D" w:rsidRDefault="00E43FC5">
      <w:pPr>
        <w:pStyle w:val="Default"/>
        <w:spacing w:line="360" w:lineRule="auto"/>
        <w:rPr>
          <w:rFonts w:ascii="仿宋" w:eastAsia="仿宋" w:hAnsi="仿宋" w:cs="Times New Roman"/>
          <w:color w:val="000000" w:themeColor="text1"/>
          <w:kern w:val="2"/>
          <w:sz w:val="28"/>
          <w:szCs w:val="28"/>
        </w:rPr>
      </w:pPr>
      <w:r>
        <w:rPr>
          <w:rFonts w:ascii="仿宋" w:eastAsia="仿宋" w:hAnsi="仿宋" w:cs="Times New Roman" w:hint="eastAsia"/>
          <w:color w:val="000000" w:themeColor="text1"/>
          <w:kern w:val="2"/>
          <w:sz w:val="28"/>
          <w:szCs w:val="28"/>
        </w:rPr>
        <w:t xml:space="preserve">　 </w:t>
      </w:r>
      <w:r>
        <w:rPr>
          <w:rFonts w:ascii="仿宋" w:eastAsia="仿宋" w:hAnsi="仿宋" w:cs="Times New Roman"/>
          <w:color w:val="000000" w:themeColor="text1"/>
          <w:kern w:val="2"/>
          <w:sz w:val="28"/>
          <w:szCs w:val="28"/>
        </w:rPr>
        <w:t xml:space="preserve"> 商品检验</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索赔</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不可抗力</w:t>
      </w:r>
      <w:r>
        <w:rPr>
          <w:rFonts w:ascii="仿宋" w:eastAsia="仿宋" w:hAnsi="仿宋" w:cs="Times New Roman" w:hint="eastAsia"/>
          <w:color w:val="000000" w:themeColor="text1"/>
          <w:kern w:val="2"/>
          <w:sz w:val="28"/>
          <w:szCs w:val="28"/>
        </w:rPr>
        <w:t>、</w:t>
      </w:r>
      <w:r>
        <w:rPr>
          <w:rFonts w:ascii="仿宋" w:eastAsia="仿宋" w:hAnsi="仿宋" w:cs="Times New Roman"/>
          <w:color w:val="000000" w:themeColor="text1"/>
          <w:kern w:val="2"/>
          <w:sz w:val="28"/>
          <w:szCs w:val="28"/>
        </w:rPr>
        <w:t>仲裁。</w:t>
      </w:r>
    </w:p>
    <w:p w14:paraId="23DCC3D6" w14:textId="77777777" w:rsidR="00464E8D" w:rsidRDefault="00E43FC5">
      <w:pPr>
        <w:spacing w:line="360" w:lineRule="auto"/>
        <w:rPr>
          <w:rFonts w:ascii="仿宋" w:eastAsia="仿宋" w:hAnsi="仿宋" w:cs="Times New Roman"/>
          <w:b/>
          <w:color w:val="000000" w:themeColor="text1"/>
          <w:sz w:val="28"/>
          <w:szCs w:val="28"/>
        </w:rPr>
      </w:pPr>
      <w:r>
        <w:rPr>
          <w:rFonts w:ascii="仿宋" w:eastAsia="仿宋" w:hAnsi="仿宋" w:cs="Times New Roman" w:hint="eastAsia"/>
          <w:b/>
          <w:color w:val="000000" w:themeColor="text1"/>
          <w:sz w:val="28"/>
          <w:szCs w:val="28"/>
        </w:rPr>
        <w:t>（</w:t>
      </w:r>
      <w:r w:rsidR="001E5EE2">
        <w:rPr>
          <w:rFonts w:ascii="仿宋" w:eastAsia="仿宋" w:hAnsi="仿宋" w:cs="Times New Roman" w:hint="eastAsia"/>
          <w:b/>
          <w:color w:val="000000" w:themeColor="text1"/>
          <w:sz w:val="28"/>
          <w:szCs w:val="28"/>
        </w:rPr>
        <w:t>四</w:t>
      </w:r>
      <w:r>
        <w:rPr>
          <w:rFonts w:ascii="仿宋" w:eastAsia="仿宋" w:hAnsi="仿宋" w:cs="Times New Roman" w:hint="eastAsia"/>
          <w:b/>
          <w:color w:val="000000" w:themeColor="text1"/>
          <w:sz w:val="28"/>
          <w:szCs w:val="28"/>
        </w:rPr>
        <w:t>）国际市场营销（30</w:t>
      </w:r>
      <w:r w:rsidR="000B129D">
        <w:rPr>
          <w:rFonts w:ascii="仿宋" w:eastAsia="仿宋" w:hAnsi="仿宋" w:cs="Times New Roman" w:hint="eastAsia"/>
          <w:b/>
          <w:color w:val="000000" w:themeColor="text1"/>
          <w:sz w:val="28"/>
          <w:szCs w:val="28"/>
        </w:rPr>
        <w:t>分</w:t>
      </w:r>
      <w:r>
        <w:rPr>
          <w:rFonts w:ascii="仿宋" w:eastAsia="仿宋" w:hAnsi="仿宋" w:cs="Times New Roman" w:hint="eastAsia"/>
          <w:b/>
          <w:color w:val="000000" w:themeColor="text1"/>
          <w:sz w:val="28"/>
          <w:szCs w:val="28"/>
        </w:rPr>
        <w:t>）</w:t>
      </w:r>
    </w:p>
    <w:p w14:paraId="6751AF66"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1</w:t>
      </w:r>
      <w:r>
        <w:rPr>
          <w:rFonts w:ascii="仿宋" w:eastAsia="仿宋" w:hAnsi="仿宋" w:cs="Times New Roman" w:hint="eastAsia"/>
          <w:color w:val="000000" w:themeColor="text1"/>
          <w:kern w:val="2"/>
          <w:sz w:val="28"/>
          <w:szCs w:val="28"/>
        </w:rPr>
        <w:t>、国际市场营销环境</w:t>
      </w:r>
      <w:r>
        <w:rPr>
          <w:rFonts w:ascii="仿宋" w:eastAsia="仿宋" w:hAnsi="仿宋" w:cs="Times New Roman"/>
          <w:color w:val="000000" w:themeColor="text1"/>
          <w:kern w:val="2"/>
          <w:sz w:val="28"/>
          <w:szCs w:val="28"/>
        </w:rPr>
        <w:t xml:space="preserve"> </w:t>
      </w:r>
    </w:p>
    <w:p w14:paraId="43C2C0E9"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hint="eastAsia"/>
          <w:color w:val="000000" w:themeColor="text1"/>
          <w:sz w:val="28"/>
          <w:szCs w:val="28"/>
        </w:rPr>
        <w:t>国际市场营销的政治法律、经济、社会文化、科学技术环境（PEST分析）</w:t>
      </w:r>
    </w:p>
    <w:p w14:paraId="216F70DB"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2、</w:t>
      </w:r>
      <w:r>
        <w:rPr>
          <w:rFonts w:ascii="仿宋" w:eastAsia="仿宋" w:hAnsi="仿宋" w:cs="Times New Roman" w:hint="eastAsia"/>
          <w:color w:val="000000" w:themeColor="text1"/>
          <w:kern w:val="2"/>
          <w:sz w:val="28"/>
          <w:szCs w:val="28"/>
        </w:rPr>
        <w:t>国际市场营销战略</w:t>
      </w:r>
      <w:r>
        <w:rPr>
          <w:rFonts w:ascii="仿宋" w:eastAsia="仿宋" w:hAnsi="仿宋" w:cs="Times New Roman"/>
          <w:color w:val="000000" w:themeColor="text1"/>
          <w:kern w:val="2"/>
          <w:sz w:val="28"/>
          <w:szCs w:val="28"/>
        </w:rPr>
        <w:t xml:space="preserve"> </w:t>
      </w:r>
    </w:p>
    <w:p w14:paraId="4B493C9A"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hint="eastAsia"/>
          <w:color w:val="000000" w:themeColor="text1"/>
          <w:sz w:val="28"/>
          <w:szCs w:val="28"/>
        </w:rPr>
        <w:t>迈克尔波特五力竞争模型、迈克尔波特三大竞争战略</w:t>
      </w:r>
      <w:r>
        <w:rPr>
          <w:rFonts w:ascii="仿宋" w:eastAsia="仿宋" w:hAnsi="仿宋" w:cs="Times New Roman"/>
          <w:color w:val="000000" w:themeColor="text1"/>
          <w:kern w:val="2"/>
          <w:sz w:val="28"/>
          <w:szCs w:val="28"/>
        </w:rPr>
        <w:t xml:space="preserve"> </w:t>
      </w:r>
    </w:p>
    <w:p w14:paraId="53A6BEE1"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3</w:t>
      </w:r>
      <w:r>
        <w:rPr>
          <w:rFonts w:ascii="仿宋" w:eastAsia="仿宋" w:hAnsi="仿宋" w:cs="Times New Roman" w:hint="eastAsia"/>
          <w:color w:val="000000" w:themeColor="text1"/>
          <w:kern w:val="2"/>
          <w:sz w:val="28"/>
          <w:szCs w:val="28"/>
        </w:rPr>
        <w:t>、国际市场细分及目标市场选择</w:t>
      </w:r>
    </w:p>
    <w:p w14:paraId="3EF59CE6" w14:textId="77777777" w:rsidR="00464E8D" w:rsidRDefault="00E43FC5">
      <w:pPr>
        <w:pStyle w:val="Default"/>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国际目标市场的选择、国际市场定位</w:t>
      </w:r>
    </w:p>
    <w:p w14:paraId="6F90F141"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s="Times New Roman"/>
          <w:color w:val="000000" w:themeColor="text1"/>
          <w:kern w:val="2"/>
          <w:sz w:val="28"/>
          <w:szCs w:val="28"/>
        </w:rPr>
        <w:t>4</w:t>
      </w:r>
      <w:r>
        <w:rPr>
          <w:rFonts w:ascii="仿宋" w:eastAsia="仿宋" w:hAnsi="仿宋" w:cs="Times New Roman" w:hint="eastAsia"/>
          <w:color w:val="000000" w:themeColor="text1"/>
          <w:kern w:val="2"/>
          <w:sz w:val="28"/>
          <w:szCs w:val="28"/>
        </w:rPr>
        <w:t>、国际市场营销组合策略</w:t>
      </w:r>
      <w:r>
        <w:rPr>
          <w:rFonts w:ascii="仿宋" w:eastAsia="仿宋" w:hAnsi="仿宋" w:cs="Times New Roman"/>
          <w:color w:val="000000" w:themeColor="text1"/>
          <w:kern w:val="2"/>
          <w:sz w:val="28"/>
          <w:szCs w:val="28"/>
        </w:rPr>
        <w:t xml:space="preserve"> </w:t>
      </w:r>
    </w:p>
    <w:p w14:paraId="26843251" w14:textId="77777777" w:rsidR="00464E8D" w:rsidRDefault="00E43FC5">
      <w:pPr>
        <w:pStyle w:val="Default"/>
        <w:spacing w:line="360" w:lineRule="auto"/>
        <w:ind w:firstLineChars="200" w:firstLine="560"/>
        <w:rPr>
          <w:rFonts w:ascii="仿宋" w:eastAsia="仿宋" w:hAnsi="仿宋" w:cs="Times New Roman"/>
          <w:color w:val="000000" w:themeColor="text1"/>
          <w:kern w:val="2"/>
          <w:sz w:val="28"/>
          <w:szCs w:val="28"/>
        </w:rPr>
      </w:pPr>
      <w:r>
        <w:rPr>
          <w:rFonts w:ascii="仿宋" w:eastAsia="仿宋" w:hAnsi="仿宋"/>
          <w:color w:val="000000" w:themeColor="text1"/>
          <w:sz w:val="28"/>
          <w:szCs w:val="28"/>
        </w:rPr>
        <w:t>4PS</w:t>
      </w:r>
      <w:r>
        <w:rPr>
          <w:rFonts w:ascii="仿宋" w:eastAsia="仿宋" w:hAnsi="仿宋" w:hint="eastAsia"/>
          <w:color w:val="000000" w:themeColor="text1"/>
          <w:sz w:val="28"/>
          <w:szCs w:val="28"/>
        </w:rPr>
        <w:t>理论、产品生命周期理论、品牌策略、密集分销、独家分销、选择性分销、促销组合策略</w:t>
      </w:r>
    </w:p>
    <w:p w14:paraId="388B0FE3" w14:textId="77777777" w:rsidR="00464E8D" w:rsidRDefault="00E43FC5">
      <w:pPr>
        <w:spacing w:line="360" w:lineRule="auto"/>
        <w:rPr>
          <w:rFonts w:ascii="仿宋" w:eastAsia="仿宋" w:hAnsi="仿宋"/>
          <w:b/>
          <w:color w:val="000000" w:themeColor="text1"/>
          <w:sz w:val="28"/>
          <w:szCs w:val="28"/>
        </w:rPr>
      </w:pPr>
      <w:r>
        <w:rPr>
          <w:rFonts w:ascii="仿宋" w:eastAsia="仿宋" w:hAnsi="仿宋" w:hint="eastAsia"/>
          <w:b/>
          <w:color w:val="000000" w:themeColor="text1"/>
          <w:sz w:val="28"/>
          <w:szCs w:val="28"/>
        </w:rPr>
        <w:t>（</w:t>
      </w:r>
      <w:r w:rsidR="001E5EE2">
        <w:rPr>
          <w:rFonts w:ascii="仿宋" w:eastAsia="仿宋" w:hAnsi="仿宋" w:hint="eastAsia"/>
          <w:b/>
          <w:color w:val="000000" w:themeColor="text1"/>
          <w:sz w:val="28"/>
          <w:szCs w:val="28"/>
        </w:rPr>
        <w:t>五</w:t>
      </w:r>
      <w:r>
        <w:rPr>
          <w:rFonts w:ascii="仿宋" w:eastAsia="仿宋" w:hAnsi="仿宋" w:hint="eastAsia"/>
          <w:b/>
          <w:color w:val="000000" w:themeColor="text1"/>
          <w:sz w:val="28"/>
          <w:szCs w:val="28"/>
        </w:rPr>
        <w:t>）国际金融与投资（30</w:t>
      </w:r>
      <w:r w:rsidR="000B129D">
        <w:rPr>
          <w:rFonts w:ascii="仿宋" w:eastAsia="仿宋" w:hAnsi="仿宋" w:hint="eastAsia"/>
          <w:b/>
          <w:color w:val="000000" w:themeColor="text1"/>
          <w:sz w:val="28"/>
          <w:szCs w:val="28"/>
        </w:rPr>
        <w:t>分</w:t>
      </w:r>
      <w:r>
        <w:rPr>
          <w:rFonts w:ascii="仿宋" w:eastAsia="仿宋" w:hAnsi="仿宋" w:hint="eastAsia"/>
          <w:b/>
          <w:color w:val="000000" w:themeColor="text1"/>
          <w:sz w:val="28"/>
          <w:szCs w:val="28"/>
        </w:rPr>
        <w:t>）</w:t>
      </w:r>
    </w:p>
    <w:p w14:paraId="49ED55B9"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color w:val="000000" w:themeColor="text1"/>
          <w:sz w:val="28"/>
          <w:szCs w:val="28"/>
        </w:rPr>
        <w:t>.</w:t>
      </w:r>
      <w:r>
        <w:rPr>
          <w:rFonts w:ascii="仿宋" w:eastAsia="仿宋" w:hAnsi="仿宋" w:hint="eastAsia"/>
          <w:color w:val="000000" w:themeColor="text1"/>
          <w:sz w:val="28"/>
          <w:szCs w:val="28"/>
        </w:rPr>
        <w:t>国际货币体系与汇率制度</w:t>
      </w:r>
    </w:p>
    <w:p w14:paraId="30FE8761"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金本位制度、布雷顿森林体系、浮动汇率制度与固定汇率制度、</w:t>
      </w:r>
      <w:r>
        <w:rPr>
          <w:rFonts w:ascii="仿宋" w:eastAsia="仿宋" w:hAnsi="仿宋"/>
          <w:color w:val="000000" w:themeColor="text1"/>
          <w:sz w:val="28"/>
          <w:szCs w:val="28"/>
        </w:rPr>
        <w:lastRenderedPageBreak/>
        <w:t>人民币汇率改革</w:t>
      </w:r>
      <w:r>
        <w:rPr>
          <w:rFonts w:ascii="仿宋" w:eastAsia="仿宋" w:hAnsi="仿宋" w:hint="eastAsia"/>
          <w:color w:val="000000" w:themeColor="text1"/>
          <w:sz w:val="28"/>
          <w:szCs w:val="28"/>
        </w:rPr>
        <w:t>。</w:t>
      </w:r>
    </w:p>
    <w:p w14:paraId="2F9C60AB"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w:t>
      </w:r>
      <w:r>
        <w:rPr>
          <w:rFonts w:ascii="仿宋" w:eastAsia="仿宋" w:hAnsi="仿宋" w:hint="eastAsia"/>
          <w:color w:val="000000" w:themeColor="text1"/>
          <w:sz w:val="28"/>
          <w:szCs w:val="28"/>
        </w:rPr>
        <w:t xml:space="preserve">外汇与汇率 </w:t>
      </w:r>
    </w:p>
    <w:p w14:paraId="1D353E17"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外汇市场与外汇业务；汇率决定理论；外汇风险。</w:t>
      </w:r>
    </w:p>
    <w:p w14:paraId="1E9BB427"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Pr>
          <w:rFonts w:ascii="仿宋" w:eastAsia="仿宋" w:hAnsi="仿宋"/>
          <w:color w:val="000000" w:themeColor="text1"/>
          <w:sz w:val="28"/>
          <w:szCs w:val="28"/>
        </w:rPr>
        <w:t>.</w:t>
      </w:r>
      <w:r>
        <w:rPr>
          <w:rFonts w:ascii="仿宋" w:eastAsia="仿宋" w:hAnsi="仿宋" w:hint="eastAsia"/>
          <w:color w:val="000000" w:themeColor="text1"/>
          <w:sz w:val="28"/>
          <w:szCs w:val="28"/>
        </w:rPr>
        <w:t xml:space="preserve">国际金融市场 </w:t>
      </w:r>
    </w:p>
    <w:p w14:paraId="565AEDB2"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国际</w:t>
      </w:r>
      <w:r>
        <w:rPr>
          <w:rFonts w:ascii="仿宋" w:eastAsia="仿宋" w:hAnsi="仿宋"/>
          <w:color w:val="000000" w:themeColor="text1"/>
          <w:sz w:val="28"/>
          <w:szCs w:val="28"/>
        </w:rPr>
        <w:t>货币市场</w:t>
      </w:r>
      <w:r>
        <w:rPr>
          <w:rFonts w:ascii="仿宋" w:eastAsia="仿宋" w:hAnsi="仿宋" w:hint="eastAsia"/>
          <w:color w:val="000000" w:themeColor="text1"/>
          <w:sz w:val="28"/>
          <w:szCs w:val="28"/>
        </w:rPr>
        <w:t>、</w:t>
      </w:r>
      <w:r>
        <w:rPr>
          <w:rFonts w:ascii="仿宋" w:eastAsia="仿宋" w:hAnsi="仿宋"/>
          <w:color w:val="000000" w:themeColor="text1"/>
          <w:sz w:val="28"/>
          <w:szCs w:val="28"/>
        </w:rPr>
        <w:t>国际</w:t>
      </w:r>
      <w:r>
        <w:rPr>
          <w:rFonts w:ascii="仿宋" w:eastAsia="仿宋" w:hAnsi="仿宋" w:hint="eastAsia"/>
          <w:color w:val="000000" w:themeColor="text1"/>
          <w:sz w:val="28"/>
          <w:szCs w:val="28"/>
        </w:rPr>
        <w:t>债券市场</w:t>
      </w:r>
    </w:p>
    <w:p w14:paraId="795DA1F9"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w:t>
      </w:r>
      <w:r>
        <w:rPr>
          <w:rFonts w:ascii="仿宋" w:eastAsia="仿宋" w:hAnsi="仿宋"/>
          <w:color w:val="000000" w:themeColor="text1"/>
          <w:sz w:val="28"/>
          <w:szCs w:val="28"/>
        </w:rPr>
        <w:t xml:space="preserve">.国际直接投资与跨国公司 </w:t>
      </w:r>
    </w:p>
    <w:p w14:paraId="181BC545"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国际直接投资的动因</w:t>
      </w:r>
      <w:r>
        <w:rPr>
          <w:rFonts w:ascii="仿宋" w:eastAsia="仿宋" w:hAnsi="仿宋" w:hint="eastAsia"/>
          <w:color w:val="000000" w:themeColor="text1"/>
          <w:sz w:val="28"/>
          <w:szCs w:val="28"/>
        </w:rPr>
        <w:t>；</w:t>
      </w:r>
      <w:r>
        <w:rPr>
          <w:rFonts w:ascii="仿宋" w:eastAsia="仿宋" w:hAnsi="仿宋"/>
          <w:color w:val="000000" w:themeColor="text1"/>
          <w:sz w:val="28"/>
          <w:szCs w:val="28"/>
        </w:rPr>
        <w:t>水平与垂直型对外直接投资</w:t>
      </w:r>
      <w:r>
        <w:rPr>
          <w:rFonts w:ascii="仿宋" w:eastAsia="仿宋" w:hAnsi="仿宋" w:hint="eastAsia"/>
          <w:color w:val="000000" w:themeColor="text1"/>
          <w:sz w:val="28"/>
          <w:szCs w:val="28"/>
        </w:rPr>
        <w:t>；</w:t>
      </w:r>
      <w:r>
        <w:rPr>
          <w:rFonts w:ascii="仿宋" w:eastAsia="仿宋" w:hAnsi="仿宋"/>
          <w:color w:val="000000" w:themeColor="text1"/>
          <w:sz w:val="28"/>
          <w:szCs w:val="28"/>
        </w:rPr>
        <w:t>跨国公司发展及其主要类型</w:t>
      </w:r>
      <w:r>
        <w:rPr>
          <w:rFonts w:ascii="仿宋" w:eastAsia="仿宋" w:hAnsi="仿宋" w:hint="eastAsia"/>
          <w:color w:val="000000" w:themeColor="text1"/>
          <w:sz w:val="28"/>
          <w:szCs w:val="28"/>
        </w:rPr>
        <w:t>。</w:t>
      </w:r>
    </w:p>
    <w:p w14:paraId="7C6BAC9F"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w:t>
      </w:r>
      <w:r>
        <w:rPr>
          <w:rFonts w:ascii="仿宋" w:eastAsia="仿宋" w:hAnsi="仿宋"/>
          <w:color w:val="000000" w:themeColor="text1"/>
          <w:sz w:val="28"/>
          <w:szCs w:val="28"/>
        </w:rPr>
        <w:t>.对外直接投资的母国与东道国效应</w:t>
      </w:r>
    </w:p>
    <w:p w14:paraId="49CA57AE" w14:textId="77777777" w:rsidR="00464E8D" w:rsidRDefault="00E43FC5">
      <w:pPr>
        <w:spacing w:line="360" w:lineRule="auto"/>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对外直接投资与母国利益和代价</w:t>
      </w:r>
      <w:r>
        <w:rPr>
          <w:rFonts w:ascii="仿宋" w:eastAsia="仿宋" w:hAnsi="仿宋" w:hint="eastAsia"/>
          <w:color w:val="000000" w:themeColor="text1"/>
          <w:sz w:val="28"/>
          <w:szCs w:val="28"/>
        </w:rPr>
        <w:t>；</w:t>
      </w:r>
      <w:r>
        <w:rPr>
          <w:rFonts w:ascii="仿宋" w:eastAsia="仿宋" w:hAnsi="仿宋"/>
          <w:color w:val="000000" w:themeColor="text1"/>
          <w:sz w:val="28"/>
          <w:szCs w:val="28"/>
        </w:rPr>
        <w:t>对外直接投资与东道国效应</w:t>
      </w:r>
      <w:r>
        <w:rPr>
          <w:rFonts w:ascii="仿宋" w:eastAsia="仿宋" w:hAnsi="仿宋" w:hint="eastAsia"/>
          <w:color w:val="000000" w:themeColor="text1"/>
          <w:sz w:val="28"/>
          <w:szCs w:val="28"/>
        </w:rPr>
        <w:t>。</w:t>
      </w:r>
    </w:p>
    <w:p w14:paraId="72929B3B" w14:textId="77777777" w:rsidR="000B129D" w:rsidRDefault="000B129D">
      <w:pPr>
        <w:spacing w:line="360" w:lineRule="auto"/>
        <w:ind w:firstLineChars="200" w:firstLine="562"/>
        <w:rPr>
          <w:rFonts w:ascii="仿宋" w:eastAsia="仿宋" w:hAnsi="仿宋"/>
          <w:b/>
          <w:color w:val="000000" w:themeColor="text1"/>
          <w:sz w:val="28"/>
          <w:szCs w:val="28"/>
        </w:rPr>
      </w:pPr>
    </w:p>
    <w:p w14:paraId="7D5A0B49" w14:textId="77777777" w:rsidR="00464E8D" w:rsidRDefault="00E43FC5">
      <w:pPr>
        <w:spacing w:line="360" w:lineRule="auto"/>
        <w:ind w:firstLineChars="200" w:firstLine="562"/>
        <w:rPr>
          <w:rFonts w:ascii="仿宋" w:eastAsia="仿宋" w:hAnsi="仿宋"/>
          <w:b/>
          <w:color w:val="000000" w:themeColor="text1"/>
          <w:sz w:val="28"/>
          <w:szCs w:val="28"/>
        </w:rPr>
      </w:pPr>
      <w:r>
        <w:rPr>
          <w:rFonts w:ascii="仿宋" w:eastAsia="仿宋" w:hAnsi="仿宋"/>
          <w:b/>
          <w:color w:val="000000" w:themeColor="text1"/>
          <w:sz w:val="28"/>
          <w:szCs w:val="28"/>
        </w:rPr>
        <w:t>参考书目</w:t>
      </w:r>
      <w:r w:rsidR="00D44E33">
        <w:rPr>
          <w:rFonts w:ascii="仿宋" w:eastAsia="仿宋" w:hAnsi="仿宋" w:hint="eastAsia"/>
          <w:b/>
          <w:color w:val="000000" w:themeColor="text1"/>
          <w:sz w:val="28"/>
          <w:szCs w:val="28"/>
        </w:rPr>
        <w:t>说明</w:t>
      </w:r>
      <w:r>
        <w:rPr>
          <w:rFonts w:ascii="仿宋" w:eastAsia="仿宋" w:hAnsi="仿宋"/>
          <w:b/>
          <w:color w:val="000000" w:themeColor="text1"/>
          <w:sz w:val="28"/>
          <w:szCs w:val="28"/>
        </w:rPr>
        <w:t>：</w:t>
      </w:r>
    </w:p>
    <w:p w14:paraId="026FDC3F" w14:textId="77777777" w:rsidR="00B21E05" w:rsidRDefault="00B21E05">
      <w:pPr>
        <w:spacing w:line="360" w:lineRule="auto"/>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以上考试大纲知识点可参考相关教科书目</w:t>
      </w:r>
      <w:r w:rsidR="00504E24">
        <w:rPr>
          <w:rFonts w:ascii="仿宋" w:eastAsia="仿宋" w:hAnsi="仿宋" w:hint="eastAsia"/>
          <w:color w:val="000000" w:themeColor="text1"/>
          <w:sz w:val="28"/>
          <w:szCs w:val="28"/>
        </w:rPr>
        <w:t>知识点进行复习准备。</w:t>
      </w:r>
    </w:p>
    <w:p w14:paraId="1860FF95" w14:textId="77777777" w:rsidR="00464E8D" w:rsidRDefault="00464E8D">
      <w:pPr>
        <w:spacing w:line="360" w:lineRule="auto"/>
        <w:ind w:firstLineChars="200" w:firstLine="560"/>
        <w:rPr>
          <w:rFonts w:ascii="仿宋" w:eastAsia="仿宋" w:hAnsi="仿宋"/>
          <w:color w:val="000000" w:themeColor="text1"/>
          <w:sz w:val="28"/>
          <w:szCs w:val="28"/>
        </w:rPr>
      </w:pPr>
    </w:p>
    <w:p w14:paraId="5C39AE6D" w14:textId="77777777" w:rsidR="00464E8D" w:rsidRDefault="00464E8D">
      <w:pPr>
        <w:rPr>
          <w:color w:val="000000" w:themeColor="text1"/>
        </w:rPr>
      </w:pPr>
    </w:p>
    <w:sectPr w:rsidR="00464E8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85EF3" w14:textId="77777777" w:rsidR="00D17D33" w:rsidRDefault="00D17D33">
      <w:r>
        <w:separator/>
      </w:r>
    </w:p>
  </w:endnote>
  <w:endnote w:type="continuationSeparator" w:id="0">
    <w:p w14:paraId="5BCF6C1B" w14:textId="77777777" w:rsidR="00D17D33" w:rsidRDefault="00D1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3096121"/>
    </w:sdtPr>
    <w:sdtEndPr/>
    <w:sdtContent>
      <w:p w14:paraId="224DD1E9" w14:textId="77777777" w:rsidR="00464E8D" w:rsidRDefault="00E43FC5">
        <w:pPr>
          <w:pStyle w:val="a3"/>
          <w:jc w:val="center"/>
        </w:pPr>
        <w:r>
          <w:fldChar w:fldCharType="begin"/>
        </w:r>
        <w:r>
          <w:instrText>PAGE   \* MERGEFORMAT</w:instrText>
        </w:r>
        <w:r>
          <w:fldChar w:fldCharType="separate"/>
        </w:r>
        <w:r w:rsidR="00970F02" w:rsidRPr="00970F02">
          <w:rPr>
            <w:noProof/>
            <w:lang w:val="zh-CN"/>
          </w:rPr>
          <w:t>1</w:t>
        </w:r>
        <w:r>
          <w:fldChar w:fldCharType="end"/>
        </w:r>
      </w:p>
    </w:sdtContent>
  </w:sdt>
  <w:p w14:paraId="1E7A9995" w14:textId="77777777" w:rsidR="00464E8D" w:rsidRDefault="00464E8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FFD57" w14:textId="77777777" w:rsidR="00D17D33" w:rsidRDefault="00D17D33">
      <w:r>
        <w:separator/>
      </w:r>
    </w:p>
  </w:footnote>
  <w:footnote w:type="continuationSeparator" w:id="0">
    <w:p w14:paraId="56AF2134" w14:textId="77777777" w:rsidR="00D17D33" w:rsidRDefault="00D17D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8D"/>
    <w:rsid w:val="000B129D"/>
    <w:rsid w:val="001E5EE2"/>
    <w:rsid w:val="00254848"/>
    <w:rsid w:val="00464E8D"/>
    <w:rsid w:val="00504E24"/>
    <w:rsid w:val="007926B3"/>
    <w:rsid w:val="008B27AE"/>
    <w:rsid w:val="00970F02"/>
    <w:rsid w:val="00B21E05"/>
    <w:rsid w:val="00B41F7D"/>
    <w:rsid w:val="00BE36D8"/>
    <w:rsid w:val="00D17D33"/>
    <w:rsid w:val="00D44E33"/>
    <w:rsid w:val="00E43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BBA39"/>
  <w15:docId w15:val="{BB78714B-074B-46F5-8D6B-157BB985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1">
    <w:name w:val="列出段落1"/>
    <w:basedOn w:val="a"/>
    <w:uiPriority w:val="34"/>
    <w:qFormat/>
    <w:pPr>
      <w:ind w:firstLineChars="200" w:firstLine="420"/>
    </w:pPr>
  </w:style>
  <w:style w:type="paragraph" w:styleId="a5">
    <w:name w:val="header"/>
    <w:basedOn w:val="a"/>
    <w:link w:val="a6"/>
    <w:uiPriority w:val="99"/>
    <w:unhideWhenUsed/>
    <w:rsid w:val="00D44E3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44E3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201</Words>
  <Characters>1150</Characters>
  <Application>Microsoft Office Word</Application>
  <DocSecurity>0</DocSecurity>
  <Lines>9</Lines>
  <Paragraphs>2</Paragraphs>
  <ScaleCrop>false</ScaleCrop>
  <Company>Microsoft</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佟荟全</cp:lastModifiedBy>
  <cp:revision>3</cp:revision>
  <dcterms:created xsi:type="dcterms:W3CDTF">2021-04-19T06:22:00Z</dcterms:created>
  <dcterms:modified xsi:type="dcterms:W3CDTF">2021-09-10T07:30:00Z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2052-11.7.0</vt:lpwstr>
  </property>
  <property fmtid="{D5CDD505-2E9C-101B-9397-08002B2CF9AE}" pid="3" name="ICV">
    <vt:lpwstr>AFE5654CBB11B454203479605558A151</vt:lpwstr>
  </property>
</Properties>
</file>